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07E" w:rsidRDefault="0072707E" w:rsidP="0072707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</w:t>
      </w:r>
      <w:r w:rsidR="00D666B5">
        <w:rPr>
          <w:b/>
          <w:color w:val="auto"/>
          <w:sz w:val="22"/>
        </w:rPr>
        <w:t>МУЗЫКАЛЬНЫЙ РУКОВОДИТЕЛЬ</w:t>
      </w:r>
      <w:bookmarkStart w:id="0" w:name="_GoBack"/>
      <w:bookmarkEnd w:id="0"/>
      <w:r>
        <w:rPr>
          <w:b/>
          <w:color w:val="auto"/>
          <w:sz w:val="22"/>
        </w:rPr>
        <w:t xml:space="preserve">» </w:t>
      </w:r>
      <w:r>
        <w:rPr>
          <w:bCs/>
          <w:color w:val="auto"/>
          <w:sz w:val="22"/>
        </w:rPr>
        <w:t>(ДОО</w:t>
      </w:r>
      <w:r>
        <w:rPr>
          <w:b/>
          <w:color w:val="auto"/>
          <w:sz w:val="22"/>
        </w:rPr>
        <w:t>)</w:t>
      </w:r>
    </w:p>
    <w:p w:rsidR="0072707E" w:rsidRDefault="0072707E" w:rsidP="0072707E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29 баллов</w:t>
      </w:r>
    </w:p>
    <w:p w:rsidR="0072707E" w:rsidRDefault="0072707E" w:rsidP="0072707E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72707E" w:rsidTr="0072707E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07E" w:rsidRDefault="0072707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Количество баллов</w:t>
            </w:r>
          </w:p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/>
                <w:kern w:val="2"/>
                <w:sz w:val="22"/>
                <w:lang w:eastAsia="en-US"/>
                <w14:ligatures w14:val="standardContextual"/>
              </w:rPr>
              <w:t>(баллы не суммируются, информация предоставляется по высшему баллу)</w:t>
            </w:r>
          </w:p>
          <w:p w:rsidR="0072707E" w:rsidRDefault="0072707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Рекомендуемые формы предоставления информации</w:t>
            </w:r>
          </w:p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(заверяется подписью и печатью руководителя ОО)</w:t>
            </w:r>
          </w:p>
        </w:tc>
      </w:tr>
      <w:tr w:rsidR="0072707E" w:rsidTr="0072707E">
        <w:trPr>
          <w:trHeight w:val="353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72707E" w:rsidRDefault="0072707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72707E" w:rsidTr="0072707E">
        <w:trPr>
          <w:trHeight w:val="8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707E" w:rsidRDefault="0072707E">
            <w:pPr>
              <w:spacing w:after="0" w:line="252" w:lineRule="auto"/>
              <w:ind w:left="0" w:firstLine="0"/>
              <w:jc w:val="left"/>
              <w:rPr>
                <w:b/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  <w:t>Критерий 1.2.</w:t>
            </w:r>
          </w:p>
          <w:p w:rsidR="0072707E" w:rsidRDefault="0072707E">
            <w:pPr>
              <w:spacing w:after="0" w:line="252" w:lineRule="auto"/>
              <w:ind w:left="0" w:firstLine="0"/>
              <w:jc w:val="left"/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Результаты</w:t>
            </w: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мониторингов,</w:t>
            </w: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проводимых организацией по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результатам реализации образовательной работы в группах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, в том числе мониторинг личностных характеристик детей</w:t>
            </w:r>
          </w:p>
          <w:p w:rsidR="0072707E" w:rsidRDefault="0072707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707E" w:rsidRDefault="0072707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данные не представлены</w:t>
            </w:r>
          </w:p>
          <w:p w:rsidR="0072707E" w:rsidRDefault="0072707E">
            <w:pPr>
              <w:widowControl w:val="0"/>
              <w:spacing w:after="0" w:line="240" w:lineRule="auto"/>
              <w:ind w:left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:rsidR="0072707E" w:rsidRDefault="0072707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707E" w:rsidRDefault="0072707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Справка по итогам мониторинга (в том числе предметных достижений)</w:t>
            </w:r>
          </w:p>
          <w:p w:rsidR="0072707E" w:rsidRDefault="0072707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72707E" w:rsidRDefault="0072707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</w:tr>
      <w:tr w:rsidR="0072707E" w:rsidTr="0072707E">
        <w:trPr>
          <w:trHeight w:val="450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72707E" w:rsidRDefault="0072707E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bookmarkStart w:id="1" w:name="_Hlk125901233"/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 xml:space="preserve">Показатель 2. </w:t>
            </w:r>
            <w:bookmarkEnd w:id="1"/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72707E" w:rsidTr="0072707E">
        <w:trPr>
          <w:trHeight w:val="111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707E" w:rsidRDefault="0072707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2.1.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</w:p>
          <w:p w:rsidR="0072707E" w:rsidRDefault="0072707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Результаты мониторингов системы образования и внешних оценочных процедур </w:t>
            </w:r>
          </w:p>
          <w:p w:rsidR="0072707E" w:rsidRDefault="0072707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72707E" w:rsidRDefault="0072707E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FF0000"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данные не представлены</w:t>
            </w:r>
          </w:p>
          <w:p w:rsidR="0072707E" w:rsidRDefault="0072707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kern w:val="2"/>
                <w:sz w:val="22"/>
                <w:highlight w:val="yellow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Справка по результатам оценочной процедуры мониторинга </w:t>
            </w:r>
          </w:p>
        </w:tc>
      </w:tr>
      <w:tr w:rsidR="0072707E" w:rsidTr="0072707E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72707E" w:rsidTr="0072707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Критерий 3.19.</w:t>
            </w:r>
          </w:p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i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(самостоятельной деятельности, в том числе исследовательской,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– представлены материалы по организации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Справка об организации и поддержке видов деятельности, с указанием видов деятельности</w:t>
            </w:r>
          </w:p>
        </w:tc>
      </w:tr>
      <w:tr w:rsidR="0072707E" w:rsidTr="0072707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3.20.</w:t>
            </w:r>
          </w:p>
          <w:p w:rsidR="0072707E" w:rsidRDefault="0072707E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Осуществление индивидуального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lastRenderedPageBreak/>
              <w:t>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  <w:p w:rsidR="0072707E" w:rsidRDefault="0072707E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осуществление индивидуального подхода к воспитанникам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представлены;</w:t>
            </w:r>
          </w:p>
          <w:p w:rsidR="0072707E" w:rsidRDefault="0072707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lang w:eastAsia="ru-RU"/>
                <w14:ligatures w14:val="standardContextual"/>
              </w:rPr>
              <w:t xml:space="preserve">3 балла </w:t>
            </w: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ru-RU"/>
                <w14:ligatures w14:val="standardContextual"/>
              </w:rPr>
              <w:t>– осуществление индивидуального подхода к воспитанникам</w:t>
            </w:r>
          </w:p>
        </w:tc>
      </w:tr>
      <w:tr w:rsidR="0072707E" w:rsidTr="0072707E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72707E" w:rsidTr="0072707E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4.1.</w:t>
            </w:r>
          </w:p>
          <w:p w:rsidR="0072707E" w:rsidRDefault="0072707E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Проведение открытого </w:t>
            </w:r>
            <w:r>
              <w:rPr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урока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– проведение открытого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Справка о проведении открытого урока от РМО /ШМО /руководителя ОО.</w:t>
            </w:r>
          </w:p>
        </w:tc>
      </w:tr>
      <w:tr w:rsidR="0072707E" w:rsidTr="0072707E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4.2.</w:t>
            </w:r>
          </w:p>
          <w:p w:rsidR="0072707E" w:rsidRDefault="0072707E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– 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проведение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мероприятия воспитательного характера (или открытого внеурочного)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bookmarkStart w:id="3" w:name="_Hlk134821013_Копия_1"/>
            <w:bookmarkEnd w:id="3"/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Справка о проведении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мероприятия воспитательного характера (или открытого внеурочного)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от РМО /ШМО /руководителя ОО.</w:t>
            </w:r>
          </w:p>
        </w:tc>
      </w:tr>
      <w:tr w:rsidR="0072707E" w:rsidTr="0072707E">
        <w:trPr>
          <w:trHeight w:val="35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kern w:val="2"/>
                <w14:ligatures w14:val="standardContextual"/>
              </w:rPr>
              <w:t>Критерий 4.3.</w:t>
            </w:r>
          </w:p>
          <w:p w:rsidR="0072707E" w:rsidRDefault="0072707E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  <w:t>Осуществление работы с детьми по индивидуальному учебному плану, в том числе</w:t>
            </w:r>
            <w:r>
              <w:rPr>
                <w:rFonts w:ascii="Times New Roman" w:hAnsi="Times New Roman" w:cs="Times New Roman"/>
                <w:iCs/>
                <w:color w:val="FF4000"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111111"/>
                <w:kern w:val="2"/>
                <w14:ligatures w14:val="standardContextual"/>
              </w:rPr>
              <w:t xml:space="preserve">с </w:t>
            </w:r>
            <w:r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  <w:t>детьми с ОВЗ с использованием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один учебный план;</w:t>
            </w:r>
          </w:p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более одного учебного плана</w:t>
            </w:r>
            <w:bookmarkEnd w:id="4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72707E" w:rsidTr="0072707E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pStyle w:val="a3"/>
              <w:widowControl w:val="0"/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4.4.</w:t>
            </w:r>
          </w:p>
          <w:p w:rsidR="0072707E" w:rsidRDefault="0072707E">
            <w:pPr>
              <w:pStyle w:val="a3"/>
              <w:widowControl w:val="0"/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стажировках,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конференциях, 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уровень образовательной организации;</w:t>
            </w:r>
          </w:p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муниципальный/региональный уровень;</w:t>
            </w:r>
          </w:p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pStyle w:val="a3"/>
              <w:widowControl w:val="0"/>
              <w:spacing w:after="0" w:afterAutospacing="0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72707E" w:rsidTr="0072707E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4.5.</w:t>
            </w:r>
          </w:p>
          <w:p w:rsidR="0072707E" w:rsidRDefault="0072707E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07E" w:rsidRDefault="0072707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непрерывно повышается профессиональное мастерство</w:t>
            </w:r>
          </w:p>
          <w:p w:rsidR="0072707E" w:rsidRDefault="0072707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72707E" w:rsidTr="0072707E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color w:val="1111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szCs w:val="22"/>
                <w:lang w:eastAsia="en-US"/>
                <w14:ligatures w14:val="standardContextual"/>
              </w:rPr>
              <w:t>Критерий 4.6.</w:t>
            </w:r>
          </w:p>
          <w:p w:rsidR="0072707E" w:rsidRDefault="0072707E">
            <w:pPr>
              <w:pStyle w:val="a3"/>
              <w:widowControl w:val="0"/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5" w:name="_Hlk125894789"/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Участие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5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наличие подтверждающих документов участия на уровне ОО и муниципальном уровне;</w:t>
            </w:r>
          </w:p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наличие подтверждающих документов участия на региональном уровне;</w:t>
            </w:r>
          </w:p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72707E" w:rsidTr="0072707E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707E" w:rsidRDefault="0072707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4.7.</w:t>
            </w:r>
          </w:p>
          <w:p w:rsidR="0072707E" w:rsidRDefault="0072707E">
            <w:pPr>
              <w:pStyle w:val="a3"/>
              <w:widowControl w:val="0"/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Личные</w:t>
            </w:r>
            <w:r>
              <w:rPr>
                <w:iCs/>
                <w:color w:val="FF4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bookmarkStart w:id="6" w:name="_Hlk125895690"/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6"/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публикация в сборниках статей/тезисов конференций;</w:t>
            </w:r>
          </w:p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72707E" w:rsidTr="0072707E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72707E" w:rsidTr="0072707E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07E" w:rsidRDefault="0072707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5.1.</w:t>
            </w:r>
          </w:p>
          <w:p w:rsidR="0072707E" w:rsidRDefault="0072707E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– участие на муниципальном (в т.ч. районном) уровне;</w:t>
            </w:r>
          </w:p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- участие на региональном уровне </w:t>
            </w:r>
          </w:p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10 баллов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72707E" w:rsidTr="0072707E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07E" w:rsidRDefault="0072707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5.2.</w:t>
            </w:r>
          </w:p>
          <w:p w:rsidR="0072707E" w:rsidRDefault="0072707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Участие </w:t>
            </w:r>
            <w:r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  <w:t xml:space="preserve">аттестуемого </w:t>
            </w: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:rsidR="0072707E" w:rsidRDefault="0072707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  <w:p w:rsidR="0072707E" w:rsidRDefault="0072707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Примечание:</w:t>
            </w: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-на уровне ОО;</w:t>
            </w:r>
          </w:p>
          <w:p w:rsidR="0072707E" w:rsidRDefault="007270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 муниципальном уровне;</w:t>
            </w:r>
          </w:p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региональном уровне;</w:t>
            </w:r>
          </w:p>
          <w:p w:rsidR="0072707E" w:rsidRDefault="0072707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:rsidR="0072707E" w:rsidRDefault="007270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FF0000"/>
                <w:kern w:val="2"/>
                <w:sz w:val="22"/>
                <w:lang w:eastAsia="en-US"/>
                <w14:ligatures w14:val="standardContextual"/>
              </w:rPr>
            </w:pPr>
          </w:p>
        </w:tc>
      </w:tr>
    </w:tbl>
    <w:p w:rsidR="0072707E" w:rsidRDefault="0072707E" w:rsidP="0072707E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7E"/>
    <w:rsid w:val="005A28A8"/>
    <w:rsid w:val="0072707E"/>
    <w:rsid w:val="007357DA"/>
    <w:rsid w:val="00D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441F"/>
  <w15:chartTrackingRefBased/>
  <w15:docId w15:val="{F2D8135A-9BB2-4AC0-80F3-34EAF462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7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2707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72707E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72707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2</cp:revision>
  <dcterms:created xsi:type="dcterms:W3CDTF">2023-09-22T11:20:00Z</dcterms:created>
  <dcterms:modified xsi:type="dcterms:W3CDTF">2023-09-22T11:21:00Z</dcterms:modified>
</cp:coreProperties>
</file>